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Style w:val="StrongEmphasis"/>
          <w:sz w:val="28"/>
        </w:rPr>
        <w:t xml:space="preserve">Referat fra Digelagets bestyrelsesmøde lørdag den 19. September 2015 kl 15 </w:t>
      </w:r>
    </w:p>
    <w:p>
      <w:pPr>
        <w:pStyle w:val="TextBody"/>
        <w:rPr/>
      </w:pPr>
      <w:r>
        <w:rPr>
          <w:rStyle w:val="StrongEmphasis"/>
        </w:rPr>
        <w:t xml:space="preserve">Sted   </w:t>
      </w:r>
      <w:r>
        <w:rPr/>
        <w:t>       Ivar Green Paulsen, Bûlowsvej 64, 4583 Yderby Lyng Sj. Odde</w:t>
      </w:r>
    </w:p>
    <w:tbl>
      <w:tblPr>
        <w:tblW w:w="12540" w:type="dxa"/>
        <w:jc w:val="left"/>
        <w:tblInd w:w="0" w:type="dxa"/>
        <w:tblBorders/>
        <w:tblCellMar>
          <w:top w:w="0" w:type="dxa"/>
          <w:left w:w="0" w:type="dxa"/>
          <w:bottom w:w="0" w:type="dxa"/>
          <w:right w:w="0" w:type="dxa"/>
        </w:tblCellMar>
      </w:tblPr>
      <w:tblGrid>
        <w:gridCol w:w="4530"/>
        <w:gridCol w:w="5535"/>
        <w:gridCol w:w="2475"/>
      </w:tblGrid>
      <w:tr>
        <w:trPr/>
        <w:tc>
          <w:tcPr>
            <w:tcW w:w="4530" w:type="dxa"/>
            <w:tcBorders/>
            <w:shd w:fill="auto" w:val="clear"/>
            <w:vAlign w:val="bottom"/>
          </w:tcPr>
          <w:p>
            <w:pPr>
              <w:pStyle w:val="TableContents"/>
              <w:spacing w:before="0" w:after="283"/>
              <w:rPr/>
            </w:pPr>
            <w:r>
              <w:rPr>
                <w:rStyle w:val="StrongEmphasis"/>
              </w:rPr>
              <w:t>Deltagere</w:t>
            </w:r>
          </w:p>
        </w:tc>
        <w:tc>
          <w:tcPr>
            <w:tcW w:w="5535" w:type="dxa"/>
            <w:tcBorders/>
            <w:shd w:fill="auto" w:val="clear"/>
            <w:vAlign w:val="bottom"/>
          </w:tcPr>
          <w:p>
            <w:pPr>
              <w:pStyle w:val="TableContents"/>
              <w:spacing w:before="0" w:after="283"/>
              <w:rPr/>
            </w:pPr>
            <w:r>
              <w:rPr/>
              <w:t> </w:t>
            </w:r>
          </w:p>
        </w:tc>
        <w:tc>
          <w:tcPr>
            <w:tcW w:w="2475" w:type="dxa"/>
            <w:tcBorders/>
            <w:shd w:fill="auto" w:val="clear"/>
            <w:vAlign w:val="bottom"/>
          </w:tcPr>
          <w:p>
            <w:pPr>
              <w:pStyle w:val="TableContents"/>
              <w:spacing w:before="0" w:after="283"/>
              <w:rPr/>
            </w:pPr>
            <w:r>
              <w:rPr/>
              <w:t> </w:t>
            </w:r>
          </w:p>
        </w:tc>
      </w:tr>
      <w:tr>
        <w:trPr/>
        <w:tc>
          <w:tcPr>
            <w:tcW w:w="4530" w:type="dxa"/>
            <w:tcBorders/>
            <w:shd w:fill="auto" w:val="clear"/>
            <w:vAlign w:val="bottom"/>
          </w:tcPr>
          <w:p>
            <w:pPr>
              <w:pStyle w:val="TableContents"/>
              <w:spacing w:before="0" w:after="283"/>
              <w:rPr/>
            </w:pPr>
            <w:r>
              <w:rPr/>
              <w:t>Bestyrelse</w:t>
            </w:r>
          </w:p>
        </w:tc>
        <w:tc>
          <w:tcPr>
            <w:tcW w:w="5535" w:type="dxa"/>
            <w:tcBorders/>
            <w:shd w:fill="auto" w:val="clear"/>
            <w:vAlign w:val="bottom"/>
          </w:tcPr>
          <w:p>
            <w:pPr>
              <w:pStyle w:val="TableContents"/>
              <w:spacing w:before="0" w:after="283"/>
              <w:rPr/>
            </w:pPr>
            <w:r>
              <w:rPr/>
              <w:t>fra Grundejerforeningerne</w:t>
            </w:r>
          </w:p>
        </w:tc>
        <w:tc>
          <w:tcPr>
            <w:tcW w:w="2475" w:type="dxa"/>
            <w:tcBorders/>
            <w:shd w:fill="auto" w:val="clear"/>
            <w:vAlign w:val="bottom"/>
          </w:tcPr>
          <w:p>
            <w:pPr>
              <w:pStyle w:val="TableContents"/>
              <w:spacing w:before="0" w:after="283"/>
              <w:rPr/>
            </w:pPr>
            <w:r>
              <w:rPr/>
              <w:t>Deltagere</w:t>
            </w:r>
          </w:p>
        </w:tc>
      </w:tr>
      <w:tr>
        <w:trPr/>
        <w:tc>
          <w:tcPr>
            <w:tcW w:w="4530" w:type="dxa"/>
            <w:tcBorders/>
            <w:shd w:fill="auto" w:val="clear"/>
            <w:vAlign w:val="bottom"/>
          </w:tcPr>
          <w:p>
            <w:pPr>
              <w:pStyle w:val="TableContents"/>
              <w:spacing w:before="0" w:after="283"/>
              <w:rPr/>
            </w:pPr>
            <w:r>
              <w:rPr/>
              <w:t>Ivar Green Paulsen – Formand</w:t>
            </w:r>
          </w:p>
        </w:tc>
        <w:tc>
          <w:tcPr>
            <w:tcW w:w="5535" w:type="dxa"/>
            <w:tcBorders/>
            <w:shd w:fill="auto" w:val="clear"/>
            <w:vAlign w:val="bottom"/>
          </w:tcPr>
          <w:p>
            <w:pPr>
              <w:pStyle w:val="TableContents"/>
              <w:spacing w:before="0" w:after="283"/>
              <w:rPr/>
            </w:pPr>
            <w:r>
              <w:rPr/>
              <w:t>Sejer Strande</w:t>
            </w:r>
          </w:p>
        </w:tc>
        <w:tc>
          <w:tcPr>
            <w:tcW w:w="2475" w:type="dxa"/>
            <w:tcBorders/>
            <w:shd w:fill="auto" w:val="clear"/>
            <w:vAlign w:val="bottom"/>
          </w:tcPr>
          <w:p>
            <w:pPr>
              <w:pStyle w:val="TableContents"/>
              <w:spacing w:before="0" w:after="283"/>
              <w:rPr/>
            </w:pPr>
            <w:r>
              <w:rPr/>
              <w:t>X</w:t>
            </w:r>
          </w:p>
        </w:tc>
      </w:tr>
      <w:tr>
        <w:trPr/>
        <w:tc>
          <w:tcPr>
            <w:tcW w:w="4530" w:type="dxa"/>
            <w:tcBorders/>
            <w:shd w:fill="auto" w:val="clear"/>
            <w:vAlign w:val="bottom"/>
          </w:tcPr>
          <w:p>
            <w:pPr>
              <w:pStyle w:val="TableContents"/>
              <w:spacing w:before="0" w:after="283"/>
              <w:rPr/>
            </w:pPr>
            <w:r>
              <w:rPr/>
              <w:t>Nils Pinholt – Ref</w:t>
            </w:r>
          </w:p>
        </w:tc>
        <w:tc>
          <w:tcPr>
            <w:tcW w:w="5535" w:type="dxa"/>
            <w:tcBorders/>
            <w:shd w:fill="auto" w:val="clear"/>
            <w:vAlign w:val="bottom"/>
          </w:tcPr>
          <w:p>
            <w:pPr>
              <w:pStyle w:val="TableContents"/>
              <w:spacing w:before="0" w:after="283"/>
              <w:rPr/>
            </w:pPr>
            <w:r>
              <w:rPr/>
              <w:t>Sejer Strande</w:t>
            </w:r>
          </w:p>
        </w:tc>
        <w:tc>
          <w:tcPr>
            <w:tcW w:w="2475" w:type="dxa"/>
            <w:tcBorders/>
            <w:shd w:fill="auto" w:val="clear"/>
            <w:vAlign w:val="bottom"/>
          </w:tcPr>
          <w:p>
            <w:pPr>
              <w:pStyle w:val="TableContents"/>
              <w:spacing w:before="0" w:after="283"/>
              <w:rPr/>
            </w:pPr>
            <w:r>
              <w:rPr/>
              <w:t>X</w:t>
            </w:r>
          </w:p>
        </w:tc>
      </w:tr>
      <w:tr>
        <w:trPr/>
        <w:tc>
          <w:tcPr>
            <w:tcW w:w="4530" w:type="dxa"/>
            <w:tcBorders/>
            <w:shd w:fill="auto" w:val="clear"/>
            <w:vAlign w:val="bottom"/>
          </w:tcPr>
          <w:p>
            <w:pPr>
              <w:pStyle w:val="TableContents"/>
              <w:spacing w:before="0" w:after="283"/>
              <w:rPr/>
            </w:pPr>
            <w:r>
              <w:rPr/>
              <w:t>Carsten Borchorst</w:t>
            </w:r>
          </w:p>
        </w:tc>
        <w:tc>
          <w:tcPr>
            <w:tcW w:w="5535" w:type="dxa"/>
            <w:tcBorders/>
            <w:shd w:fill="auto" w:val="clear"/>
            <w:vAlign w:val="bottom"/>
          </w:tcPr>
          <w:p>
            <w:pPr>
              <w:pStyle w:val="TableContents"/>
              <w:spacing w:before="0" w:after="283"/>
              <w:rPr/>
            </w:pPr>
            <w:r>
              <w:rPr/>
              <w:t>Søgården</w:t>
            </w:r>
          </w:p>
        </w:tc>
        <w:tc>
          <w:tcPr>
            <w:tcW w:w="2475" w:type="dxa"/>
            <w:tcBorders/>
            <w:shd w:fill="auto" w:val="clear"/>
            <w:vAlign w:val="bottom"/>
          </w:tcPr>
          <w:p>
            <w:pPr>
              <w:pStyle w:val="TableContents"/>
              <w:spacing w:before="0" w:after="283"/>
              <w:rPr/>
            </w:pPr>
            <w:r>
              <w:rPr/>
              <w:t>X</w:t>
            </w:r>
          </w:p>
        </w:tc>
      </w:tr>
      <w:tr>
        <w:trPr/>
        <w:tc>
          <w:tcPr>
            <w:tcW w:w="4530" w:type="dxa"/>
            <w:tcBorders/>
            <w:shd w:fill="auto" w:val="clear"/>
            <w:vAlign w:val="bottom"/>
          </w:tcPr>
          <w:p>
            <w:pPr>
              <w:pStyle w:val="TableContents"/>
              <w:spacing w:before="0" w:after="283"/>
              <w:rPr/>
            </w:pPr>
            <w:r>
              <w:rPr/>
              <w:t>Knud Rasmussen</w:t>
            </w:r>
          </w:p>
        </w:tc>
        <w:tc>
          <w:tcPr>
            <w:tcW w:w="5535" w:type="dxa"/>
            <w:tcBorders/>
            <w:shd w:fill="auto" w:val="clear"/>
            <w:vAlign w:val="bottom"/>
          </w:tcPr>
          <w:p>
            <w:pPr>
              <w:pStyle w:val="TableContents"/>
              <w:spacing w:before="0" w:after="283"/>
              <w:rPr/>
            </w:pPr>
            <w:r>
              <w:rPr/>
              <w:t>Hyldebo</w:t>
            </w:r>
          </w:p>
        </w:tc>
        <w:tc>
          <w:tcPr>
            <w:tcW w:w="2475" w:type="dxa"/>
            <w:tcBorders/>
            <w:shd w:fill="auto" w:val="clear"/>
            <w:vAlign w:val="bottom"/>
          </w:tcPr>
          <w:p>
            <w:pPr>
              <w:pStyle w:val="TableContents"/>
              <w:spacing w:before="0" w:after="283"/>
              <w:rPr/>
            </w:pPr>
            <w:r>
              <w:rPr/>
              <w:t>X</w:t>
            </w:r>
          </w:p>
        </w:tc>
      </w:tr>
      <w:tr>
        <w:trPr/>
        <w:tc>
          <w:tcPr>
            <w:tcW w:w="4530" w:type="dxa"/>
            <w:tcBorders/>
            <w:shd w:fill="auto" w:val="clear"/>
            <w:vAlign w:val="bottom"/>
          </w:tcPr>
          <w:p>
            <w:pPr>
              <w:pStyle w:val="TableContents"/>
              <w:spacing w:before="0" w:after="283"/>
              <w:rPr/>
            </w:pPr>
            <w:r>
              <w:rPr/>
              <w:t>Peter Tinning</w:t>
            </w:r>
          </w:p>
        </w:tc>
        <w:tc>
          <w:tcPr>
            <w:tcW w:w="5535" w:type="dxa"/>
            <w:tcBorders/>
            <w:shd w:fill="auto" w:val="clear"/>
            <w:vAlign w:val="bottom"/>
          </w:tcPr>
          <w:p>
            <w:pPr>
              <w:pStyle w:val="TableContents"/>
              <w:spacing w:before="0" w:after="283"/>
              <w:rPr/>
            </w:pPr>
            <w:r>
              <w:rPr/>
              <w:t>Søgården</w:t>
            </w:r>
          </w:p>
        </w:tc>
        <w:tc>
          <w:tcPr>
            <w:tcW w:w="2475" w:type="dxa"/>
            <w:tcBorders/>
            <w:shd w:fill="auto" w:val="clear"/>
            <w:vAlign w:val="bottom"/>
          </w:tcPr>
          <w:p>
            <w:pPr>
              <w:pStyle w:val="TableContents"/>
              <w:spacing w:before="0" w:after="283"/>
              <w:rPr/>
            </w:pPr>
            <w:r>
              <w:rPr/>
              <w:t>Afbud</w:t>
            </w:r>
          </w:p>
        </w:tc>
      </w:tr>
      <w:tr>
        <w:trPr/>
        <w:tc>
          <w:tcPr>
            <w:tcW w:w="4530" w:type="dxa"/>
            <w:tcBorders/>
            <w:shd w:fill="auto" w:val="clear"/>
            <w:vAlign w:val="bottom"/>
          </w:tcPr>
          <w:p>
            <w:pPr>
              <w:pStyle w:val="TableContents"/>
              <w:spacing w:before="0" w:after="283"/>
              <w:rPr/>
            </w:pPr>
            <w:r>
              <w:rPr/>
              <w:t> </w:t>
            </w:r>
          </w:p>
        </w:tc>
        <w:tc>
          <w:tcPr>
            <w:tcW w:w="5535" w:type="dxa"/>
            <w:tcBorders/>
            <w:shd w:fill="auto" w:val="clear"/>
            <w:vAlign w:val="bottom"/>
          </w:tcPr>
          <w:p>
            <w:pPr>
              <w:pStyle w:val="TableContents"/>
              <w:spacing w:before="0" w:after="283"/>
              <w:rPr/>
            </w:pPr>
            <w:r>
              <w:rPr/>
              <w:t> </w:t>
            </w:r>
          </w:p>
        </w:tc>
        <w:tc>
          <w:tcPr>
            <w:tcW w:w="2475" w:type="dxa"/>
            <w:tcBorders/>
            <w:shd w:fill="auto" w:val="clear"/>
            <w:vAlign w:val="bottom"/>
          </w:tcPr>
          <w:p>
            <w:pPr>
              <w:pStyle w:val="TableContents"/>
              <w:spacing w:before="0" w:after="283"/>
              <w:rPr/>
            </w:pPr>
            <w:r>
              <w:rPr/>
              <w:t> </w:t>
            </w:r>
          </w:p>
        </w:tc>
      </w:tr>
      <w:tr>
        <w:trPr/>
        <w:tc>
          <w:tcPr>
            <w:tcW w:w="4530" w:type="dxa"/>
            <w:tcBorders/>
            <w:shd w:fill="auto" w:val="clear"/>
            <w:vAlign w:val="bottom"/>
          </w:tcPr>
          <w:p>
            <w:pPr>
              <w:pStyle w:val="TableContents"/>
              <w:spacing w:before="0" w:after="283"/>
              <w:rPr/>
            </w:pPr>
            <w:r>
              <w:rPr/>
              <w:t>REFERAT TILSENDES</w:t>
            </w:r>
          </w:p>
        </w:tc>
        <w:tc>
          <w:tcPr>
            <w:tcW w:w="5535" w:type="dxa"/>
            <w:tcBorders/>
            <w:shd w:fill="auto" w:val="clear"/>
            <w:vAlign w:val="bottom"/>
          </w:tcPr>
          <w:p>
            <w:pPr>
              <w:pStyle w:val="TableContents"/>
              <w:spacing w:before="0" w:after="283"/>
              <w:rPr/>
            </w:pPr>
            <w:r>
              <w:rPr/>
              <w:t> </w:t>
            </w:r>
          </w:p>
        </w:tc>
        <w:tc>
          <w:tcPr>
            <w:tcW w:w="2475" w:type="dxa"/>
            <w:tcBorders/>
            <w:shd w:fill="auto" w:val="clear"/>
            <w:vAlign w:val="bottom"/>
          </w:tcPr>
          <w:p>
            <w:pPr>
              <w:pStyle w:val="TableContents"/>
              <w:spacing w:before="0" w:after="283"/>
              <w:rPr/>
            </w:pPr>
            <w:r>
              <w:rPr/>
              <w:t> </w:t>
            </w:r>
          </w:p>
        </w:tc>
      </w:tr>
      <w:tr>
        <w:trPr/>
        <w:tc>
          <w:tcPr>
            <w:tcW w:w="4530" w:type="dxa"/>
            <w:tcBorders/>
            <w:shd w:fill="auto" w:val="clear"/>
            <w:vAlign w:val="bottom"/>
          </w:tcPr>
          <w:p>
            <w:pPr>
              <w:pStyle w:val="TableContents"/>
              <w:spacing w:before="0" w:after="283"/>
              <w:rPr/>
            </w:pPr>
            <w:r>
              <w:rPr/>
              <w:t>Rasmus Kruse</w:t>
            </w:r>
          </w:p>
        </w:tc>
        <w:tc>
          <w:tcPr>
            <w:tcW w:w="5535" w:type="dxa"/>
            <w:tcBorders/>
            <w:shd w:fill="auto" w:val="clear"/>
            <w:vAlign w:val="bottom"/>
          </w:tcPr>
          <w:p>
            <w:pPr>
              <w:pStyle w:val="TableContents"/>
              <w:spacing w:before="0" w:after="283"/>
              <w:rPr/>
            </w:pPr>
            <w:r>
              <w:rPr/>
              <w:t>Odsherred Kommune</w:t>
            </w:r>
          </w:p>
        </w:tc>
        <w:tc>
          <w:tcPr>
            <w:tcW w:w="2475" w:type="dxa"/>
            <w:tcBorders/>
            <w:shd w:fill="auto" w:val="clear"/>
            <w:vAlign w:val="bottom"/>
          </w:tcPr>
          <w:p>
            <w:pPr>
              <w:pStyle w:val="TableContents"/>
              <w:spacing w:before="0" w:after="283"/>
              <w:rPr/>
            </w:pPr>
            <w:r>
              <w:rPr/>
              <w:t> </w:t>
            </w:r>
          </w:p>
        </w:tc>
      </w:tr>
      <w:tr>
        <w:trPr/>
        <w:tc>
          <w:tcPr>
            <w:tcW w:w="4530" w:type="dxa"/>
            <w:tcBorders/>
            <w:shd w:fill="auto" w:val="clear"/>
            <w:vAlign w:val="bottom"/>
          </w:tcPr>
          <w:p>
            <w:pPr>
              <w:pStyle w:val="TableContents"/>
              <w:spacing w:before="0" w:after="283"/>
              <w:rPr/>
            </w:pPr>
            <w:r>
              <w:rPr/>
              <w:t>Digelagets hjemmeside </w:t>
            </w:r>
          </w:p>
        </w:tc>
        <w:tc>
          <w:tcPr>
            <w:tcW w:w="5535" w:type="dxa"/>
            <w:tcBorders/>
            <w:shd w:fill="auto" w:val="clear"/>
            <w:vAlign w:val="bottom"/>
          </w:tcPr>
          <w:p>
            <w:pPr>
              <w:pStyle w:val="TableContents"/>
              <w:spacing w:before="0" w:after="283"/>
              <w:rPr/>
            </w:pPr>
            <w:r>
              <w:rPr/>
              <w:t> </w:t>
            </w:r>
          </w:p>
        </w:tc>
        <w:tc>
          <w:tcPr>
            <w:tcW w:w="2475" w:type="dxa"/>
            <w:tcBorders/>
            <w:shd w:fill="auto" w:val="clear"/>
            <w:vAlign w:val="bottom"/>
          </w:tcPr>
          <w:p>
            <w:pPr>
              <w:pStyle w:val="TableContents"/>
              <w:spacing w:before="0" w:after="283"/>
              <w:rPr/>
            </w:pPr>
            <w:r>
              <w:rPr/>
              <w:t> </w:t>
            </w:r>
          </w:p>
        </w:tc>
      </w:tr>
    </w:tbl>
    <w:p>
      <w:pPr>
        <w:pStyle w:val="TextBody"/>
        <w:rPr/>
      </w:pPr>
      <w:r>
        <w:rPr/>
        <w:t> </w:t>
      </w:r>
      <w:r>
        <w:rPr>
          <w:rStyle w:val="StrongEmphasis"/>
        </w:rPr>
        <w:t>Dagsorden</w:t>
      </w:r>
    </w:p>
    <w:p>
      <w:pPr>
        <w:pStyle w:val="TextBody"/>
        <w:rPr/>
      </w:pPr>
      <w:r>
        <w:rPr/>
        <w:t> </w:t>
      </w:r>
    </w:p>
    <w:p>
      <w:pPr>
        <w:pStyle w:val="TextBody"/>
        <w:rPr/>
      </w:pPr>
      <w:r>
        <w:rPr>
          <w:rStyle w:val="StrongEmphasis"/>
        </w:rPr>
        <w:t xml:space="preserve">1. Kommentarer til sidste referat </w:t>
      </w:r>
      <w:r>
        <w:rPr/>
        <w:br/>
        <w:t>Der var ingen kommentarer  </w:t>
      </w:r>
    </w:p>
    <w:p>
      <w:pPr>
        <w:pStyle w:val="TextBody"/>
        <w:rPr/>
      </w:pPr>
      <w:r>
        <w:rPr/>
        <w:t> </w:t>
      </w:r>
      <w:r>
        <w:rPr>
          <w:rStyle w:val="StrongEmphasis"/>
        </w:rPr>
        <w:t>2. Eftervirkning af stormen i januar 2015</w:t>
      </w:r>
      <w:r>
        <w:rPr/>
        <w:t xml:space="preserve"> </w:t>
        <w:br/>
        <w:t>I forbindelse med stormen Egon i januar 2015, skete der store overfladiske skader på muldlag og rallen langs kysten, i den nordlige del af diget. Store mængder ral var skyllet syd på til digets midterområde. I foråret blev rallen fordelt langs kysten efter behov og digets muldlag blev repareret.</w:t>
      </w:r>
    </w:p>
    <w:p>
      <w:pPr>
        <w:pStyle w:val="TextBody"/>
        <w:rPr/>
      </w:pPr>
      <w:r>
        <w:rPr/>
        <w:t xml:space="preserve">Jvf. vedtægterne skal der årligt afsættes kr 200.000 til alm vedligeholdelse. </w:t>
        <w:br/>
        <w:t>Udgiften til ovenstående reparations- og vedligeholdelses beløb sig til kr 300.000.</w:t>
      </w:r>
    </w:p>
    <w:p>
      <w:pPr>
        <w:pStyle w:val="TextBody"/>
        <w:rPr/>
      </w:pPr>
      <w:r>
        <w:rPr/>
        <w:t>Bestyrelsen tog en besigtigelsestur af ovenstående arbejder og fandt dem vel udført.</w:t>
      </w:r>
    </w:p>
    <w:p>
      <w:pPr>
        <w:pStyle w:val="TextBody"/>
        <w:rPr/>
      </w:pPr>
      <w:r>
        <w:rPr/>
        <w:t> </w:t>
      </w:r>
      <w:r>
        <w:rPr>
          <w:rStyle w:val="StrongEmphasis"/>
        </w:rPr>
        <w:t>2. Tilstand og Vedligeholdelse - Græs</w:t>
      </w:r>
      <w:r>
        <w:rPr/>
        <w:t xml:space="preserve"> </w:t>
        <w:br/>
        <w:t>Græsset er slået planmæssigt 2 gange, gødet og eftersået. Eftersåningen var foretaget et par dage inden bestyrelsesmødet. Bestyrelsen tog også en besigtigede af hele digets græstæppe.</w:t>
      </w:r>
    </w:p>
    <w:p>
      <w:pPr>
        <w:pStyle w:val="TextBody"/>
        <w:rPr/>
      </w:pPr>
      <w:r>
        <w:rPr/>
        <w:t>Hvor der var eftersået et par dage tidligere var græsfrøene naturligt ikke kommet i spirring</w:t>
        <w:br/>
        <w:br/>
        <w:t>Bestyrelsen opdagede at der forekommer områder på digeskrænten mod  mod Sejrerø Bugten</w:t>
      </w:r>
    </w:p>
    <w:p>
      <w:pPr>
        <w:pStyle w:val="TextBody"/>
        <w:rPr/>
      </w:pPr>
      <w:r>
        <w:rPr/>
        <w:t>hvor ukrudt har fortrængt græsvæksten. Ukrudtet stammer sandsynligvis fra frøspredning fra planter på strandengen.</w:t>
      </w:r>
    </w:p>
    <w:p>
      <w:pPr>
        <w:pStyle w:val="TextBody"/>
        <w:rPr/>
      </w:pPr>
      <w:r>
        <w:rPr/>
        <w:t>Jf. vedtægterne må der ikke sprøjtes mod ukrudt, så ukrudtet skal fjernes manuelt og efterfølgende skal der gensås.</w:t>
      </w:r>
    </w:p>
    <w:p>
      <w:pPr>
        <w:pStyle w:val="TextBody"/>
        <w:rPr/>
      </w:pPr>
      <w:r>
        <w:rPr/>
        <w:t>Bestyrelsen drøfter situationen med gartner om hvornår og hvordan arbejder kan udføres. Det er spørgsmålet om det er for sent på året og om der er økonomien til at igangsætte arbejdet i år. Emnet tages op under økonomien. Alternativt må arbejdet udføres til foråret</w:t>
      </w:r>
    </w:p>
    <w:p>
      <w:pPr>
        <w:pStyle w:val="TextBody"/>
        <w:rPr/>
      </w:pPr>
      <w:r>
        <w:rPr>
          <w:rStyle w:val="StrongEmphasis"/>
        </w:rPr>
        <w:t xml:space="preserve">3. Tilstand og Vedligeholdelse – Skilte </w:t>
      </w:r>
    </w:p>
    <w:p>
      <w:pPr>
        <w:pStyle w:val="TextBody"/>
        <w:rPr/>
      </w:pPr>
      <w:r>
        <w:rPr/>
        <w:t>Ved gennemgang af skiltningen konstateres at der mangler skilte 4 steder.</w:t>
      </w:r>
    </w:p>
    <w:p>
      <w:pPr>
        <w:pStyle w:val="TextBody"/>
        <w:rPr/>
      </w:pPr>
      <w:r>
        <w:rPr/>
        <w:t xml:space="preserve">NP sørger for levr og montering af de manglende skilte ved hhv .Bülowsvej syd, Bülowsvej 72, Duevej 13, Ørnevej 23. </w:t>
        <w:br/>
        <w:t>Den nordlige grundejer har ønske om opsætning af skilt for enden af diget, som støder op om anden privat grundejer. Bestyrelsen finder at denne skiltning falder uden for princippet - at der skiltes hvor diget støder op til offentlig vej.</w:t>
      </w:r>
    </w:p>
    <w:p>
      <w:pPr>
        <w:pStyle w:val="TextBody"/>
        <w:rPr/>
      </w:pPr>
      <w:r>
        <w:rPr/>
        <w:t> </w:t>
      </w:r>
      <w:r>
        <w:rPr>
          <w:rStyle w:val="StrongEmphasis"/>
        </w:rPr>
        <w:t xml:space="preserve">4. Regnskab </w:t>
      </w:r>
    </w:p>
    <w:p>
      <w:pPr>
        <w:pStyle w:val="TextBody"/>
        <w:rPr/>
      </w:pPr>
      <w:r>
        <w:rPr/>
        <w:t>KR har fremsendt foreløbigt Regnskab for 2014. KR oplyste at han har rykket for manglende oplysninger fra Odsherred Kommune for at kunne færdiggøre regnskabet og præcist billede på likviditet.</w:t>
      </w:r>
    </w:p>
    <w:p>
      <w:pPr>
        <w:pStyle w:val="TextBody"/>
        <w:rPr/>
      </w:pPr>
      <w:r>
        <w:rPr/>
        <w:t>Det aftaltes at Knud retter henvendelse til Økonomichef Klaus Hansen, OK vedr de manglende oplysninger / specifikationer.</w:t>
      </w:r>
    </w:p>
    <w:p>
      <w:pPr>
        <w:pStyle w:val="TextBody"/>
        <w:rPr/>
      </w:pPr>
      <w:r>
        <w:rPr/>
        <w:t>Når oplysningerne er indhentet sendes regnskabet videre til revisor, Carsten Hansen, til dennes gennemsyn og godkendelse.</w:t>
      </w:r>
    </w:p>
    <w:p>
      <w:pPr>
        <w:pStyle w:val="TextBody"/>
        <w:rPr/>
      </w:pPr>
      <w:r>
        <w:rPr>
          <w:rStyle w:val="StrongEmphasis"/>
        </w:rPr>
        <w:t>5. Budget for 2016</w:t>
      </w:r>
    </w:p>
    <w:p>
      <w:pPr>
        <w:pStyle w:val="TextBody"/>
        <w:rPr/>
      </w:pPr>
      <w:r>
        <w:rPr/>
        <w:t>Vedligeholdelsesudgifterne i 2014 har drænet vedligeholdelsespuljen. Det drøftedes hvor vidt det i hh til vedtægterne bestemte budget til vedligeholdelse på kr 200.000 skal opkræves over 1 eller 2 terminer i 2015. Bestyrelsen vil afvente regnskabet, se ovenfor, og tage beslutning herefter.  </w:t>
      </w:r>
    </w:p>
    <w:p>
      <w:pPr>
        <w:pStyle w:val="TextBody"/>
        <w:rPr/>
      </w:pPr>
      <w:r>
        <w:rPr/>
        <w:br/>
      </w:r>
      <w:r>
        <w:rPr>
          <w:rStyle w:val="StrongEmphasis"/>
        </w:rPr>
        <w:t>6. Generalforsamling 2016</w:t>
      </w:r>
      <w:r>
        <w:rPr/>
        <w:br/>
        <w:t>Generalforsamling afholdes i forsamlingshuset i Havnebyen, søndag den 24. april 2016 kl 12</w:t>
      </w:r>
    </w:p>
    <w:p>
      <w:pPr>
        <w:pStyle w:val="TextBody"/>
        <w:rPr/>
      </w:pPr>
      <w:r>
        <w:rPr/>
        <w:t>Store Bededag er fredag den 22.</w:t>
      </w:r>
    </w:p>
    <w:p>
      <w:pPr>
        <w:pStyle w:val="TextBody"/>
        <w:rPr/>
      </w:pPr>
      <w:r>
        <w:rPr/>
        <w:t>7. Havbundsdybder</w:t>
      </w:r>
    </w:p>
    <w:p>
      <w:pPr>
        <w:pStyle w:val="TextBody"/>
        <w:rPr/>
      </w:pPr>
      <w:r>
        <w:rPr/>
        <w:t>Der er jvf Odsherred Kommunes pålæg og Digelagets vedtægter foretaget havdybdeundersøgelser, til vurdering af evt. behov for ral / sandfodring for at sikre diget mod erosion. Der er særlig fokus på den nordlige del af diget, men også for den øvrige dige strækning. Opmålingen er efter aftale med de implicerede parter også foretaget ud for De Nordligste Grundejere, nord for diget og mod syd ud for Hyldebo Grundejerforening.</w:t>
      </w:r>
    </w:p>
    <w:p>
      <w:pPr>
        <w:pStyle w:val="TextBody"/>
        <w:rPr/>
      </w:pPr>
      <w:r>
        <w:rPr/>
        <w:t>Økonomien for havbundsundersøgelserne er aftalt fordelt forholdsmæssigt mellem De Nordligste Grundejere og Digelaget pr løbende meter kystlinje.</w:t>
      </w:r>
    </w:p>
    <w:p>
      <w:pPr>
        <w:pStyle w:val="TextBody"/>
        <w:rPr/>
      </w:pPr>
      <w:r>
        <w:rPr/>
        <w:t>Odsherred Kommune oplyser at der i de give tilladelser til oversvømmelsesdiget, ikke er givet tilladelse til kystsikringstiltag nord for digets udstrækning, hvorfor der i så fald skal oprettes en ny §1 sag, på samme vis som ved projektet for Oversvømmelsesdiget. Her skal ligeledes forventes en flerårig procedure periode.</w:t>
      </w:r>
    </w:p>
    <w:p>
      <w:pPr>
        <w:pStyle w:val="TextBody"/>
        <w:rPr/>
      </w:pPr>
      <w:r>
        <w:rPr/>
        <w:t>Der pågår dialog mellem De Nordligste Grundejere, repræsenteret af Birgitte Fabricius og Digelaget repræsenteret af Digelagets formand Ivar Green Paulsen.</w:t>
      </w:r>
      <w:r>
        <w:rPr>
          <w:rStyle w:val="StrongEmphasis"/>
        </w:rPr>
        <w:br/>
        <w:t> </w:t>
      </w:r>
    </w:p>
    <w:p>
      <w:pPr>
        <w:pStyle w:val="TextBody"/>
        <w:rPr/>
      </w:pPr>
      <w:r>
        <w:rPr>
          <w:rStyle w:val="StrongEmphasis"/>
        </w:rPr>
        <w:t xml:space="preserve">8. Overtaksationen </w:t>
      </w:r>
      <w:r>
        <w:rPr/>
        <w:br/>
        <w:t>Der er 2 medlemmer i 1. Række der har klaget over den tildelte erstatning i forbindelse med Digets opførelse og eksproprieringen af en stribe af deres grund. De har klaget til Overtaksationen. Der er så vidt bestyrelsen er oplyst intet nyt herom. Hvis grundejerne ved Overtaksationen dom skal tilkendes højere erstatning, skal beløbet hentes i Digelagets økonomi.</w:t>
      </w:r>
    </w:p>
    <w:p>
      <w:pPr>
        <w:pStyle w:val="TextBody"/>
        <w:rPr/>
      </w:pPr>
      <w:r>
        <w:rPr>
          <w:rStyle w:val="StrongEmphasis"/>
        </w:rPr>
        <w:t>9. Eventuelt</w:t>
      </w:r>
    </w:p>
    <w:p>
      <w:pPr>
        <w:pStyle w:val="TextBody"/>
        <w:rPr/>
      </w:pPr>
      <w:r>
        <w:rPr/>
        <w:t>Carsten har fået positive henvendelser fra nogle af de 4 grundejere i nord, som ikke iht til Odsherred Kommune / vedtægterne er forpligtiget til at deltage i Digets etableringsøkonomi, grundet grundenes høje beliggenhed.</w:t>
      </w:r>
    </w:p>
    <w:p>
      <w:pPr>
        <w:pStyle w:val="TextBody"/>
        <w:rPr/>
      </w:pPr>
      <w:r>
        <w:rPr/>
        <w:t>Disse medlemmer finder det moralsk rimeligt at deltage i etableringsøkonomien, så der sammenhænge i at yde og nyde.</w:t>
      </w:r>
    </w:p>
    <w:p>
      <w:pPr>
        <w:pStyle w:val="TextBody"/>
        <w:rPr/>
      </w:pPr>
      <w:r>
        <w:rPr/>
        <w:t>Dette, ikke mindst set i lyset af, at der har været særlig store etablerings og vedligeholdelsesudgifter netop her, og at netop denne del er særlig udsat for truslerne fra havets vrede.</w:t>
      </w:r>
    </w:p>
    <w:p>
      <w:pPr>
        <w:pStyle w:val="TextBody"/>
        <w:rPr/>
      </w:pPr>
      <w:r>
        <w:rPr/>
        <w:t>Carsten tænker at tage emnet op med de 4 grundejere i nord,</w:t>
      </w:r>
    </w:p>
    <w:p>
      <w:pPr>
        <w:pStyle w:val="TextBody"/>
        <w:rPr/>
      </w:pPr>
      <w:r>
        <w:rPr>
          <w:rStyle w:val="StrongEmphasis"/>
        </w:rPr>
        <w:t>10. Næste møde</w:t>
      </w:r>
      <w:r>
        <w:rPr/>
        <w:t xml:space="preserve"> </w:t>
        <w:br/>
        <w:t>Aftales efter behov.</w:t>
      </w:r>
    </w:p>
    <w:p>
      <w:pPr>
        <w:pStyle w:val="TextBody"/>
        <w:rPr/>
      </w:pPr>
      <w:r>
        <w:rPr/>
        <w:t> </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sz w:val="24"/>
      <w:szCs w:val="24"/>
      <w:lang w:val="en-US" w:eastAsia="zh-CN" w:bidi="hi-IN"/>
    </w:rPr>
  </w:style>
  <w:style w:type="character" w:styleId="StrongEmphasis">
    <w:name w:val="Strong Emphasis"/>
    <w:qFormat/>
    <w:rPr>
      <w:b/>
      <w:bCs/>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3</Pages>
  <Words>818</Words>
  <Characters>4622</Characters>
  <CharactersWithSpaces>5430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2023-01-05T16:38:38Z</dcterms:created>
  <dc:creator/>
  <dc:description/>
  <dc:language>en-US</dc:language>
  <cp:lastModifiedBy/>
  <dcterms:modified xsi:type="dcterms:W3CDTF">2023-01-05T16:40:51Z</dcterms:modified>
  <cp:revision>1</cp:revision>
  <dc:subject/>
  <dc:title/>
</cp:coreProperties>
</file>