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Style w:val="StrongEmphasis"/>
        </w:rPr>
        <w:t>Referat fra Digelagets bestyrelsesmøde onsdag den 23. oktober 2013 kl. 16-18</w:t>
      </w:r>
    </w:p>
    <w:p>
      <w:pPr>
        <w:pStyle w:val="TextBody"/>
        <w:rPr/>
      </w:pPr>
      <w:r>
        <w:rPr/>
        <w:t>Sted:           Vestforbrænding Ejby Mosevej 219, 2600 Glostrup</w:t>
      </w:r>
    </w:p>
    <w:p>
      <w:pPr>
        <w:pStyle w:val="TextBody"/>
        <w:rPr/>
      </w:pPr>
      <w:r>
        <w:rPr/>
        <w:t>Deltagere</w:t>
      </w:r>
    </w:p>
    <w:tbl>
      <w:tblPr>
        <w:tblW w:w="9465"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3616"/>
        <w:gridCol w:w="4410"/>
        <w:gridCol w:w="1439"/>
      </w:tblGrid>
      <w:tr>
        <w:trPr/>
        <w:tc>
          <w:tcPr>
            <w:tcW w:w="3616" w:type="dxa"/>
            <w:tcBorders>
              <w:top w:val="single" w:sz="6" w:space="0" w:color="808080"/>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rStyle w:val="StrongEmphasis"/>
              </w:rPr>
              <w:t xml:space="preserve">Bestyrelse  </w:t>
            </w:r>
          </w:p>
        </w:tc>
        <w:tc>
          <w:tcPr>
            <w:tcW w:w="441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rStyle w:val="StrongEmphasis"/>
              </w:rPr>
              <w:t>Grundejerforeninger</w:t>
            </w:r>
          </w:p>
        </w:tc>
        <w:tc>
          <w:tcPr>
            <w:tcW w:w="1439"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rStyle w:val="StrongEmphasis"/>
              </w:rPr>
              <w:t xml:space="preserve">Deltagelse </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Ivar Green Paulsen – Formand</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Sejer Strande</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X</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Nils Pinholt – Ref</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Sejer Strande</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X</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Peter Tinning</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Søgården</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Afbud</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Carsten Borchorst</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Søgården</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X</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Birgitte Andersen</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Søgården</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X</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Svend-Erik</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De 10 grundejere, uden grundejerforening</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Afbud</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rStyle w:val="StrongEmphasis"/>
              </w:rPr>
              <w:t>Observatører</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 </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 </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Peter Fjeldby </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Sejer Strande</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Afbud</w:t>
            </w:r>
          </w:p>
        </w:tc>
      </w:tr>
      <w:tr>
        <w:trPr/>
        <w:tc>
          <w:tcPr>
            <w:tcW w:w="3616" w:type="dxa"/>
            <w:tcBorders>
              <w:left w:val="single" w:sz="6" w:space="0" w:color="808080"/>
              <w:bottom w:val="single" w:sz="2" w:space="0" w:color="808080"/>
              <w:insideH w:val="single" w:sz="2" w:space="0" w:color="808080"/>
            </w:tcBorders>
            <w:shd w:fill="auto" w:val="clear"/>
            <w:tcMar>
              <w:left w:w="20" w:type="dxa"/>
            </w:tcMar>
            <w:vAlign w:val="bottom"/>
          </w:tcPr>
          <w:p>
            <w:pPr>
              <w:pStyle w:val="TableContents"/>
              <w:spacing w:before="0" w:after="283"/>
              <w:rPr/>
            </w:pPr>
            <w:r>
              <w:rPr/>
              <w:t>Knud Rasmussen</w:t>
            </w:r>
          </w:p>
        </w:tc>
        <w:tc>
          <w:tcPr>
            <w:tcW w:w="4410" w:type="dxa"/>
            <w:tcBorders>
              <w:left w:val="single" w:sz="2" w:space="0" w:color="808080"/>
              <w:bottom w:val="single" w:sz="2" w:space="0" w:color="808080"/>
              <w:insideH w:val="single" w:sz="2" w:space="0" w:color="808080"/>
            </w:tcBorders>
            <w:shd w:fill="auto" w:val="clear"/>
            <w:tcMar>
              <w:left w:w="27" w:type="dxa"/>
            </w:tcMar>
            <w:vAlign w:val="bottom"/>
          </w:tcPr>
          <w:p>
            <w:pPr>
              <w:pStyle w:val="TableContents"/>
              <w:spacing w:before="0" w:after="283"/>
              <w:rPr/>
            </w:pPr>
            <w:r>
              <w:rPr/>
              <w:t>Hyldebo</w:t>
            </w:r>
          </w:p>
        </w:tc>
        <w:tc>
          <w:tcPr>
            <w:tcW w:w="1439"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bottom"/>
          </w:tcPr>
          <w:p>
            <w:pPr>
              <w:pStyle w:val="TableContents"/>
              <w:spacing w:before="0" w:after="283"/>
              <w:rPr/>
            </w:pPr>
            <w:r>
              <w:rPr/>
              <w:t>X</w:t>
            </w:r>
          </w:p>
        </w:tc>
      </w:tr>
      <w:tr>
        <w:trPr/>
        <w:tc>
          <w:tcPr>
            <w:tcW w:w="3616" w:type="dxa"/>
            <w:tcBorders>
              <w:left w:val="single" w:sz="6" w:space="0" w:color="808080"/>
              <w:bottom w:val="single" w:sz="6" w:space="0" w:color="808080"/>
              <w:insideH w:val="single" w:sz="6" w:space="0" w:color="808080"/>
            </w:tcBorders>
            <w:shd w:fill="auto" w:val="clear"/>
            <w:tcMar>
              <w:left w:w="20" w:type="dxa"/>
            </w:tcMar>
            <w:vAlign w:val="bottom"/>
          </w:tcPr>
          <w:p>
            <w:pPr>
              <w:pStyle w:val="TableContents"/>
              <w:spacing w:before="0" w:after="283"/>
              <w:rPr/>
            </w:pPr>
            <w:r>
              <w:rPr/>
              <w:t> </w:t>
            </w:r>
            <w:r>
              <w:rPr/>
              <w:t>Leo H. Knudsen</w:t>
            </w:r>
          </w:p>
        </w:tc>
        <w:tc>
          <w:tcPr>
            <w:tcW w:w="4410" w:type="dxa"/>
            <w:tcBorders>
              <w:left w:val="single" w:sz="2" w:space="0" w:color="808080"/>
              <w:bottom w:val="single" w:sz="6" w:space="0" w:color="808080"/>
              <w:insideH w:val="single" w:sz="6" w:space="0" w:color="808080"/>
            </w:tcBorders>
            <w:shd w:fill="auto" w:val="clear"/>
            <w:tcMar>
              <w:left w:w="27" w:type="dxa"/>
            </w:tcMar>
            <w:vAlign w:val="bottom"/>
          </w:tcPr>
          <w:p>
            <w:pPr>
              <w:pStyle w:val="TableContents"/>
              <w:spacing w:before="0" w:after="283"/>
              <w:rPr/>
            </w:pPr>
            <w:r>
              <w:rPr/>
              <w:t>Søhusvej</w:t>
            </w:r>
          </w:p>
        </w:tc>
        <w:tc>
          <w:tcPr>
            <w:tcW w:w="1439"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bottom"/>
          </w:tcPr>
          <w:p>
            <w:pPr>
              <w:pStyle w:val="TableContents"/>
              <w:spacing w:before="0" w:after="283"/>
              <w:rPr/>
            </w:pPr>
            <w:r>
              <w:rPr/>
              <w:t>Afbud</w:t>
            </w:r>
          </w:p>
        </w:tc>
      </w:tr>
    </w:tbl>
    <w:p>
      <w:pPr>
        <w:pStyle w:val="TextBody"/>
        <w:rPr/>
      </w:pPr>
      <w:r>
        <w:rPr/>
        <w:t> </w:t>
      </w:r>
    </w:p>
    <w:p>
      <w:pPr>
        <w:pStyle w:val="TextBody"/>
        <w:rPr/>
      </w:pPr>
      <w:r>
        <w:rPr>
          <w:rStyle w:val="StrongEmphasis"/>
        </w:rPr>
        <w:t>1      Begivenheder siden sidste møde, den 4. september 2013</w:t>
      </w:r>
    </w:p>
    <w:p>
      <w:pPr>
        <w:pStyle w:val="TextBody"/>
        <w:numPr>
          <w:ilvl w:val="0"/>
          <w:numId w:val="1"/>
        </w:numPr>
        <w:tabs>
          <w:tab w:val="left" w:pos="0" w:leader="none"/>
        </w:tabs>
        <w:ind w:left="707" w:hanging="283"/>
        <w:rPr/>
      </w:pPr>
      <w:r>
        <w:rPr/>
        <w:t>Der er afholdt licitation. 3 af de bydende entreprenører lå på stort set samme niveau.</w:t>
        <w:br/>
        <w:t>Den lavestbydende C. Holbøll &amp; sønner A/S blev valgt. Tilbudssum kr. 6.198.165,00</w:t>
        <w:br/>
        <w:br/>
        <w:t>Der blev skrevet betinget kontrakt den 26.09.2013, løbende omkostningsfrit til den 10. oktober, idet der var taget højde for at der var klagefrist for ekspropriationsforretningen til torsdag den 26. september.</w:t>
      </w:r>
    </w:p>
    <w:p>
      <w:pPr>
        <w:pStyle w:val="TextBody"/>
        <w:numPr>
          <w:ilvl w:val="0"/>
          <w:numId w:val="1"/>
        </w:numPr>
        <w:tabs>
          <w:tab w:val="left" w:pos="0" w:leader="none"/>
        </w:tabs>
        <w:ind w:left="707" w:hanging="283"/>
        <w:rPr/>
      </w:pPr>
      <w:r>
        <w:rPr/>
        <w:t>Idet Knud har bedt om en detaljeret orientering om forløbet i forbindelse med en klage der blev indgivet i 12 time og efterfølgende trukket tilbage blev forløbet gennemgået.</w:t>
      </w:r>
    </w:p>
    <w:p>
      <w:pPr>
        <w:pStyle w:val="TextBody"/>
        <w:rPr/>
      </w:pPr>
      <w:r>
        <w:rPr/>
        <w:t>Onsdag den 25. september, dagen før klagefristen udløb, modtag Odsherred Kommune en klage over ekspropriationsbeslutningen fra den 27. august 2013, fra en grundejer i Søgården.</w:t>
        <w:br/>
        <w:br/>
        <w:t>Klagen skulle ekspederes videre fra Odsherred Kommune til Transportministeriet, og idet det var usikkert om klagen havde opsættende virkning, og Transportministeriet var klageinstans.</w:t>
        <w:br/>
        <w:t>Transportministeriet oplyste hurtigt, at klagen havde opsættende virkning, og at sagsbehandlingen ville være tidskrævende. Dette betød at dige byggeriet ikke ville kunne starte i 2013.</w:t>
      </w:r>
    </w:p>
    <w:p>
      <w:pPr>
        <w:pStyle w:val="TextBody"/>
        <w:rPr/>
      </w:pPr>
      <w:r>
        <w:rPr/>
        <w:t xml:space="preserve">Til klagen var der vedhæftet et bilag, som begrunder selve klagen. </w:t>
        <w:br/>
        <w:t>Den valgte Teknikergruppen at gennemgå og forstod herefter, at der i brevet fremsættes en lang række udsagn, som ikke er i overensstemmelse med Kystgruppens opfattelser, hvorfor disse udsagn kommenteres punkt for punkt. Heraf kan nævnes:</w:t>
      </w:r>
    </w:p>
    <w:p>
      <w:pPr>
        <w:pStyle w:val="TextBody"/>
        <w:rPr/>
      </w:pPr>
      <w:r>
        <w:rPr/>
        <w:t>- Det fremgår af bilaget, at klager sammenblander sin utilfredshed med digesagen, med sin egen byggesag fra 2005, hvor klager ikke at kunne opnå dispensation til sit ønske om at bygge sit sommerhus i 1. Række, i en større højde end bygningsreglementet tillader.</w:t>
      </w:r>
    </w:p>
    <w:p>
      <w:pPr>
        <w:pStyle w:val="TextBody"/>
        <w:rPr/>
      </w:pPr>
      <w:r>
        <w:rPr/>
        <w:t xml:space="preserve">- I klagebilaget anføres at digets top vil tage grundejerens udsigt over Sejerø Bugten, hvilket faktuelt ikke er tilfældet, idet den eksisterende vegetation på stranden er højere en diget vil blive på klagers grund. Det er klager bekendt, at græsset på digekronen må slås af grundejerne, hvorfor græsset ikke vil tage udsigten. </w:t>
        <w:br/>
        <w:t>Det bemærkedes at Grundejerens terrasse og stuegulv ligger så højt, at der ikke vil være problemer med, at diget genere udsigten.</w:t>
      </w:r>
    </w:p>
    <w:p>
      <w:pPr>
        <w:pStyle w:val="TextBody"/>
        <w:rPr/>
      </w:pPr>
      <w:r>
        <w:rPr/>
        <w:t xml:space="preserve">- at bilaget anfører, at der var ved åstedsforretningen, under ekspropriationsforretningen, var usikkerhed om de af landinspektør afsatte pæle, som illustrerer digets placering. </w:t>
        <w:br/>
        <w:t xml:space="preserve">(Der var tale om, at den ene pælerække skulle rykkes 1 m længere ud mod kysten). </w:t>
        <w:br/>
        <w:t>Dette forhold er tydeligt beskrevet i en informationsskrivelse fra Odsherred Kommune, der udsendtes i mail onsdag den 25.09.2013 til Transportministeriet, med CC til klager.</w:t>
      </w:r>
    </w:p>
    <w:p>
      <w:pPr>
        <w:pStyle w:val="TextBody"/>
        <w:rPr/>
      </w:pPr>
      <w:r>
        <w:rPr/>
        <w:t>Summa summarum, opfattede teknikergruppen, at klagebilaget var en sammenblanding af en afsluttet bygge sag der ikke vedrører dige sagen, og at bilaget indeholdt misinformationer om faktuelle forhold, som ville kunne dokumenters som værende urigtige.</w:t>
      </w:r>
    </w:p>
    <w:p>
      <w:pPr>
        <w:pStyle w:val="TextBody"/>
        <w:rPr/>
      </w:pPr>
      <w:r>
        <w:rPr/>
        <w:t>Der er vild frustration blandt grundejere og medlemmer i Kystgruppen med udsigt det kommende efterår og vinter med typiske storme og oversvømmelser.</w:t>
      </w:r>
    </w:p>
    <w:p>
      <w:pPr>
        <w:pStyle w:val="TextBody"/>
        <w:rPr/>
      </w:pPr>
      <w:r>
        <w:rPr/>
        <w:t xml:space="preserve">Fredag d. 27.09.2013, om aftenen, opsætter et bestyrelsesmedlem i Søgården en informationsskrivelse til foreningens medlemmer i Søgårdens informationsskabe. </w:t>
        <w:br/>
        <w:t>Skrivelsen orienterer grundejerne om udsigterne for forlænget sagsbehandling og ubekendt udskydelse af opførelsen af diget. Klagers adresse var angivet i teksten. Den tidligere annoncerede tidsplan på foreningens hjemmeside ser ud til ikke at holde.</w:t>
      </w:r>
    </w:p>
    <w:p>
      <w:pPr>
        <w:pStyle w:val="TextBody"/>
        <w:rPr/>
      </w:pPr>
      <w:r>
        <w:rPr/>
        <w:t> </w:t>
      </w:r>
      <w:r>
        <w:rPr/>
        <w:t>Lørdag d 28.09.2013 kontakter et medlem af Kystgruppen pressen. TV2 møder op med kamerahold og der bringes indslag samme aften om grundejernes og digelagets frustrationer over at diget nu må udskydes med stor risiko for oversvømmelser af sommerhusene og de deraf følgende omkostninger til udbedring af skader på husene, som de enkelte grundejere hæfter for.</w:t>
      </w:r>
    </w:p>
    <w:p>
      <w:pPr>
        <w:pStyle w:val="TextBody"/>
        <w:rPr/>
      </w:pPr>
      <w:r>
        <w:rPr/>
        <w:t> </w:t>
      </w:r>
      <w:r>
        <w:rPr/>
        <w:t xml:space="preserve">Klagen fra klagers advokat, der var fremsendt til Odsherred Kommune, var også blevet ophængt I skabet. I klagen oplyser advokatens sin klient / klagers navn og adresse. </w:t>
        <w:br/>
        <w:t>Klagen var offentlig tilgængelig på nettet og var således ikke hemmelig.</w:t>
        <w:br/>
        <w:br/>
        <w:t>Lørdag den 29.09.2013 om aftenen nedtages informationsskrivelsen, for at undgå at klager kunne føle sig udhængt.</w:t>
      </w:r>
    </w:p>
    <w:p>
      <w:pPr>
        <w:pStyle w:val="TextBody"/>
        <w:rPr/>
      </w:pPr>
      <w:r>
        <w:rPr/>
        <w:t> </w:t>
      </w:r>
      <w:r>
        <w:rPr/>
        <w:t>Klageren oplyser efterfølgende, søndag den 29.09.2013 overfor digelagets formand, at hun vil trække sin klage tilbage næste dag. Det sker imidlertid ikke.</w:t>
        <w:br/>
        <w:br/>
        <w:t>Tirsdag den 1. oktober fremsender teknikergruppen og Digelagets formand gennemgangen af klage bilaget til klagers advokat, ud fra ønsket om at klager eller klagers advokat meldte kulør, og meddele ud om, hvor vidt klager ville trække klagen tilbage eller ej.</w:t>
      </w:r>
    </w:p>
    <w:p>
      <w:pPr>
        <w:pStyle w:val="TextBody"/>
        <w:rPr/>
      </w:pPr>
      <w:r>
        <w:rPr/>
        <w:t>Samtidig informeres klagers advokat, om, at såfremt klagen fastholdets, dvs. ikke blev frafaldet i løbet af den efterfølgende dag, påtænkte Teknikergruppen og Digelagets formand at fremsende gennemgangen af bilaget til Transportministeriet til orientering.</w:t>
        <w:br/>
        <w:br/>
        <w:t>Tirsdag den 1. oktober meddeler klagers advokat pr mail til Odsherred Kommune, at klagen var trukket tilbage. Dette var sket i mail til Transportministeriet.</w:t>
        <w:br/>
        <w:t>Dagen efter modtager Odsherred Kommune den officielle meddelelsen fra Transportministeriet, at klagen var trukket tilbage.</w:t>
      </w:r>
    </w:p>
    <w:p>
      <w:pPr>
        <w:pStyle w:val="TextBody"/>
        <w:rPr/>
      </w:pPr>
      <w:r>
        <w:rPr/>
        <w:t> </w:t>
      </w:r>
    </w:p>
    <w:p>
      <w:pPr>
        <w:pStyle w:val="TextBody"/>
        <w:numPr>
          <w:ilvl w:val="0"/>
          <w:numId w:val="2"/>
        </w:numPr>
        <w:tabs>
          <w:tab w:val="left" w:pos="0" w:leader="none"/>
        </w:tabs>
        <w:ind w:left="707" w:hanging="283"/>
        <w:rPr/>
      </w:pPr>
      <w:r>
        <w:rPr/>
        <w:t xml:space="preserve">Onsdag den 2. oktober meddelte Conny Nøhr Korsholm at hun ønsker at trække sig efter 5 år i Kystgruppen. Conny har i en del af perioden også været formand for Søgårdens grundejerforening. </w:t>
      </w:r>
    </w:p>
    <w:p>
      <w:pPr>
        <w:pStyle w:val="TextBody"/>
        <w:rPr/>
      </w:pPr>
      <w:r>
        <w:rPr/>
        <w:br/>
        <w:t>Samme dag, onsdag den 2. oktober, indtrådte 1. Suppleant, Birgitte Andersen I digelagets bestyrelse. Birgitte er bestyrelsesformand i Søgården.</w:t>
      </w:r>
    </w:p>
    <w:p>
      <w:pPr>
        <w:pStyle w:val="TextBody"/>
        <w:rPr/>
      </w:pPr>
      <w:r>
        <w:rPr/>
        <w:t> </w:t>
      </w:r>
    </w:p>
    <w:p>
      <w:pPr>
        <w:pStyle w:val="TextBody"/>
        <w:numPr>
          <w:ilvl w:val="0"/>
          <w:numId w:val="3"/>
        </w:numPr>
        <w:tabs>
          <w:tab w:val="left" w:pos="0" w:leader="none"/>
        </w:tabs>
        <w:ind w:left="707" w:hanging="283"/>
        <w:rPr/>
      </w:pPr>
      <w:r>
        <w:rPr/>
        <w:t>Odsherred Kommune udsendte informationsmateriale af 6. oktober 2013 til grundejerne, om at dige byggeriets start. Heri meddeltes også, at Odsherred Kommune har indsat ovenstående personer i Digelagets bestyrelse samt udpeget af en række suppleanter.</w:t>
        <w:br/>
        <w:br/>
        <w:t>Digelaget har valgt at tilknytte observatører fra grundejerforeningerne Hyldebo og Søhusvej</w:t>
        <w:br/>
        <w:t>Digelagets medlemmer er gennemgående fra de tidligere Kystgruppe og Teknikergruppe.</w:t>
      </w:r>
    </w:p>
    <w:p>
      <w:pPr>
        <w:pStyle w:val="TextBody"/>
        <w:numPr>
          <w:ilvl w:val="0"/>
          <w:numId w:val="3"/>
        </w:numPr>
        <w:tabs>
          <w:tab w:val="left" w:pos="0" w:leader="none"/>
        </w:tabs>
        <w:ind w:left="707" w:hanging="283"/>
        <w:rPr/>
      </w:pPr>
      <w:r>
        <w:rPr/>
        <w:t xml:space="preserve">Mandag den 7. oktober blev der holdt møde på stedet, og </w:t>
        <w:br/>
        <w:t xml:space="preserve">torsdag den 10. oktober var den første gravemaskine i gang på stedet. </w:t>
        <w:br/>
        <w:t>Dagen efter er 2 gravemaskiner i gang, og der suppleres med 40 tons dumpere.</w:t>
      </w:r>
    </w:p>
    <w:p>
      <w:pPr>
        <w:pStyle w:val="TextBody"/>
        <w:rPr/>
      </w:pPr>
      <w:r>
        <w:rPr/>
        <w:t xml:space="preserve">Der anvendes genbrugsmaterialer som stabilgruslag på køreveje. Odsherred Kommune oplyser, at der ikke længere skal søges om tilladelse om anvendelse af genbrugsmaterialer, såfremt de leveres fra godkendt leverandør. </w:t>
        <w:br/>
        <w:t>Rådgiver oplyser leverandør er godkendt.</w:t>
        <w:br/>
        <w:br/>
        <w:t>I går den 22. oktober var der 4 mand på byggepladsen. Der arbejdes meget professionelt.</w:t>
        <w:br/>
        <w:t>Der påregnes udlagt 400 t ler dagligt, leveret af 20 lastbiler a 20 ton ler.</w:t>
      </w:r>
    </w:p>
    <w:p>
      <w:pPr>
        <w:pStyle w:val="TextBody"/>
        <w:numPr>
          <w:ilvl w:val="0"/>
          <w:numId w:val="4"/>
        </w:numPr>
        <w:tabs>
          <w:tab w:val="left" w:pos="0" w:leader="none"/>
        </w:tabs>
        <w:ind w:left="707" w:hanging="283"/>
        <w:rPr/>
      </w:pPr>
      <w:r>
        <w:rPr/>
        <w:t>Søndag den 13.10.2013 er der fremsendt en klage fra en grundejer i den nordlige ende af diget.</w:t>
        <w:br/>
        <w:t xml:space="preserve">Klager er utilfreds med at diget, i en højde på ca. 10 cm, skal etableres på hans grund. </w:t>
        <w:br/>
        <w:t>Klage punktet indgik i åsteds / ekspropriationsforretningen torsdag den 27. juni 2013.</w:t>
        <w:br/>
        <w:t>Klagefristen udløb den 26. september 2013.</w:t>
        <w:br/>
        <w:t>Klagen behandles pt. af Odsherred Kommune.</w:t>
        <w:br/>
        <w:t xml:space="preserve">Klagen ligger udenfor Digelagets regi. </w:t>
      </w:r>
    </w:p>
    <w:p>
      <w:pPr>
        <w:pStyle w:val="TextBody"/>
        <w:rPr/>
      </w:pPr>
      <w:r>
        <w:rPr/>
        <w:t> </w:t>
      </w:r>
    </w:p>
    <w:p>
      <w:pPr>
        <w:pStyle w:val="TextBody"/>
        <w:numPr>
          <w:ilvl w:val="0"/>
          <w:numId w:val="5"/>
        </w:numPr>
        <w:tabs>
          <w:tab w:val="left" w:pos="0" w:leader="none"/>
        </w:tabs>
        <w:ind w:left="707" w:hanging="283"/>
        <w:rPr/>
      </w:pPr>
      <w:r>
        <w:rPr/>
        <w:t xml:space="preserve">I forlængelse af åsteds / ekspropriationsforretningen torsdag den 27. juni 2013, fastsætter Taksationskommissionen erstatningens størrelse. </w:t>
        <w:br/>
        <w:t>Beløb kendes ikke. Kommunen behandler sagen</w:t>
      </w:r>
    </w:p>
    <w:p>
      <w:pPr>
        <w:pStyle w:val="TextBody"/>
        <w:rPr/>
      </w:pPr>
      <w:r>
        <w:rPr/>
        <w:t>2      Økonomi</w:t>
      </w:r>
    </w:p>
    <w:p>
      <w:pPr>
        <w:pStyle w:val="TextBody"/>
        <w:numPr>
          <w:ilvl w:val="0"/>
          <w:numId w:val="6"/>
        </w:numPr>
        <w:tabs>
          <w:tab w:val="left" w:pos="0" w:leader="none"/>
        </w:tabs>
        <w:ind w:left="707" w:hanging="283"/>
        <w:rPr/>
      </w:pPr>
      <w:r>
        <w:rPr/>
        <w:t xml:space="preserve">Lån og procedurer – </w:t>
      </w:r>
    </w:p>
    <w:p>
      <w:pPr>
        <w:pStyle w:val="TextBody"/>
        <w:rPr/>
      </w:pPr>
      <w:r>
        <w:rPr/>
        <w:t>Lånet er oprettet i kommunekredit, i første omgang som en byggekredit, når projektet er færdigt konverteres byggekreditten til et inkonvertibelt lån over 25 år, med en forventet rente under 3 procent. De personer der ønsker at betale kontant, skal indbetale et aconto beløb inden 31/12 2013 svarende til det forventede bidrag ved en omkostning til opførelsen af diget på 7 mio. kr.</w:t>
      </w:r>
    </w:p>
    <w:p>
      <w:pPr>
        <w:pStyle w:val="TextBody"/>
        <w:rPr/>
      </w:pPr>
      <w:r>
        <w:rPr/>
        <w:t>Beløbet vil for de 4 kategorier udgøre</w:t>
      </w:r>
    </w:p>
    <w:p>
      <w:pPr>
        <w:pStyle w:val="TextBody"/>
        <w:rPr/>
      </w:pPr>
      <w:r>
        <w:rPr/>
        <w:t>Koteinterval                            gruppe                                bidrag</w:t>
      </w:r>
    </w:p>
    <w:p>
      <w:pPr>
        <w:pStyle w:val="TextBody"/>
        <w:rPr/>
      </w:pPr>
      <w:r>
        <w:rPr/>
        <w:t>0-100                                      1                                          67.609 kr.</w:t>
      </w:r>
    </w:p>
    <w:p>
      <w:pPr>
        <w:pStyle w:val="TextBody"/>
        <w:rPr/>
      </w:pPr>
      <w:r>
        <w:rPr/>
        <w:t>100-130                                  2                                          53.837 kr.</w:t>
      </w:r>
    </w:p>
    <w:p>
      <w:pPr>
        <w:pStyle w:val="TextBody"/>
        <w:rPr/>
      </w:pPr>
      <w:r>
        <w:rPr/>
        <w:t>130-160                                  3                                          40.830 kr.</w:t>
      </w:r>
    </w:p>
    <w:p>
      <w:pPr>
        <w:pStyle w:val="TextBody"/>
        <w:rPr/>
      </w:pPr>
      <w:r>
        <w:rPr/>
        <w:t>160-195                                  4                                          26.292 kr.</w:t>
      </w:r>
    </w:p>
    <w:p>
      <w:pPr>
        <w:pStyle w:val="TextBody"/>
        <w:rPr/>
      </w:pPr>
      <w:r>
        <w:rPr/>
        <w:t>Låneydelsen forventes at andrage nedenstående, hvor det skal bemærkes, at der er faste ens afdrag over de 25 år,</w:t>
      </w:r>
    </w:p>
    <w:p>
      <w:pPr>
        <w:pStyle w:val="TextBody"/>
        <w:rPr/>
      </w:pPr>
      <w:r>
        <w:rPr/>
        <w:t>Gruppe   fast afdrag i alle 25 år                    rente første år</w:t>
      </w:r>
    </w:p>
    <w:p>
      <w:pPr>
        <w:pStyle w:val="TextBody"/>
        <w:rPr/>
      </w:pPr>
      <w:r>
        <w:rPr/>
        <w:t>1                           2704 kr.                                  1900 kr.        </w:t>
      </w:r>
    </w:p>
    <w:p>
      <w:pPr>
        <w:pStyle w:val="TextBody"/>
        <w:rPr/>
      </w:pPr>
      <w:r>
        <w:rPr/>
        <w:t>2                           2120 -                                     1560 -           </w:t>
      </w:r>
    </w:p>
    <w:p>
      <w:pPr>
        <w:pStyle w:val="TextBody"/>
        <w:rPr/>
      </w:pPr>
      <w:r>
        <w:rPr/>
        <w:t>3                           1600 -                                     1160 -</w:t>
      </w:r>
    </w:p>
    <w:p>
      <w:pPr>
        <w:pStyle w:val="TextBody"/>
        <w:rPr/>
      </w:pPr>
      <w:r>
        <w:rPr/>
        <w:t>4                           1040 -                                       800 -</w:t>
      </w:r>
    </w:p>
    <w:p>
      <w:pPr>
        <w:pStyle w:val="TextBody"/>
        <w:rPr/>
      </w:pPr>
      <w:r>
        <w:rPr/>
        <w:t>Det undersøges i øjeblikket via en forhåndsgodkendelse i skat om den enkelte grundejer kan fradrage renterne i egen årsopgørelse.</w:t>
      </w:r>
    </w:p>
    <w:p>
      <w:pPr>
        <w:pStyle w:val="TextBody"/>
        <w:rPr/>
      </w:pPr>
      <w:r>
        <w:rPr/>
        <w:t> </w:t>
      </w:r>
      <w:r>
        <w:rPr/>
        <w:t>Der udsendes særskilt orientering om betalingen til samtlige pr brev.</w:t>
      </w:r>
    </w:p>
    <w:p>
      <w:pPr>
        <w:pStyle w:val="TextBody"/>
        <w:rPr/>
      </w:pPr>
      <w:r>
        <w:rPr/>
        <w:t> </w:t>
      </w:r>
    </w:p>
    <w:p>
      <w:pPr>
        <w:pStyle w:val="TextBody"/>
        <w:numPr>
          <w:ilvl w:val="0"/>
          <w:numId w:val="7"/>
        </w:numPr>
        <w:tabs>
          <w:tab w:val="left" w:pos="0" w:leader="none"/>
        </w:tabs>
        <w:ind w:left="707" w:hanging="283"/>
        <w:rPr/>
      </w:pPr>
      <w:r>
        <w:rPr/>
        <w:t>Valg af Bank</w:t>
        <w:br/>
        <w:t>Nordea Holbæk, som bød som eneste udover Kommunekredit, er valgt</w:t>
        <w:br/>
        <w:t xml:space="preserve">Der oprettes 2 konti, en for opførelsen og en for vedligeholdelsen. </w:t>
      </w:r>
    </w:p>
    <w:p>
      <w:pPr>
        <w:pStyle w:val="TextBody"/>
        <w:rPr/>
      </w:pPr>
      <w:r>
        <w:rPr/>
        <w:t>Den samlede bestyrelse skal underskrive bankoprettelsen og fuldmagter til Peter Tinning og Ivar Green-Paulsen til at trække på lagets konti.</w:t>
      </w:r>
    </w:p>
    <w:p>
      <w:pPr>
        <w:pStyle w:val="TextBody"/>
        <w:numPr>
          <w:ilvl w:val="0"/>
          <w:numId w:val="8"/>
        </w:numPr>
        <w:tabs>
          <w:tab w:val="left" w:pos="0" w:leader="none"/>
        </w:tabs>
        <w:ind w:left="707" w:hanging="283"/>
        <w:rPr/>
      </w:pPr>
      <w:r>
        <w:rPr/>
        <w:t>Valg af revisor</w:t>
        <w:br/>
        <w:t xml:space="preserve">Revisionshuset Holbæk, ved Carsten Hansen er valgt </w:t>
      </w:r>
    </w:p>
    <w:p>
      <w:pPr>
        <w:pStyle w:val="TextBody"/>
        <w:rPr/>
      </w:pPr>
      <w:r>
        <w:rPr/>
        <w:t>Revisionshuset, fører regnskab, men ind/udbetalinger der foretages gennem godkendelser og overførsler accepteret af den eksterne rådgiver på dige projektet, og håndteres af kassereren og banken, herudover afsluttes byggeregnskabet og den endelige afregning.</w:t>
      </w:r>
    </w:p>
    <w:p>
      <w:pPr>
        <w:pStyle w:val="TextBody"/>
        <w:numPr>
          <w:ilvl w:val="0"/>
          <w:numId w:val="9"/>
        </w:numPr>
        <w:tabs>
          <w:tab w:val="left" w:pos="0" w:leader="none"/>
        </w:tabs>
        <w:ind w:left="707" w:hanging="283"/>
        <w:rPr/>
      </w:pPr>
      <w:r>
        <w:rPr/>
        <w:t xml:space="preserve">Forsikringsspørgsmål  </w:t>
      </w:r>
    </w:p>
    <w:p>
      <w:pPr>
        <w:pStyle w:val="TextBody"/>
        <w:rPr/>
      </w:pPr>
      <w:r>
        <w:rPr/>
        <w:t>Digelaget skal iht. til kontrakten tegne en all risk (entrepriseforsikring) under opførelsen af diget. Denne er tegnet gennem forsikringsmæglervirksomheden Willis i Gjensidige.</w:t>
      </w:r>
    </w:p>
    <w:p>
      <w:pPr>
        <w:pStyle w:val="TextBody"/>
        <w:rPr/>
      </w:pPr>
      <w:r>
        <w:rPr/>
        <w:t>Præmien udgør 12.000 kr. med en selvrisiko, som angivet i kontrakten på 30.000 kr.</w:t>
      </w:r>
    </w:p>
    <w:p>
      <w:pPr>
        <w:pStyle w:val="TextBody"/>
        <w:rPr/>
      </w:pPr>
      <w:r>
        <w:rPr/>
        <w:t>Udløb ved årets udgang. (beløbet kan ændres lidt ved 1. måneds forlængelse)</w:t>
      </w:r>
    </w:p>
    <w:p>
      <w:pPr>
        <w:pStyle w:val="TextBody"/>
        <w:rPr/>
      </w:pPr>
      <w:r>
        <w:rPr/>
        <w:t> </w:t>
      </w:r>
    </w:p>
    <w:p>
      <w:pPr>
        <w:pStyle w:val="TextBody"/>
        <w:rPr/>
      </w:pPr>
      <w:r>
        <w:rPr/>
        <w:t>3      Entreprenør og rådgiver</w:t>
      </w:r>
    </w:p>
    <w:p>
      <w:pPr>
        <w:pStyle w:val="TextBody"/>
        <w:numPr>
          <w:ilvl w:val="0"/>
          <w:numId w:val="10"/>
        </w:numPr>
        <w:tabs>
          <w:tab w:val="left" w:pos="0" w:leader="none"/>
        </w:tabs>
        <w:ind w:left="707" w:hanging="283"/>
        <w:rPr/>
      </w:pPr>
      <w:r>
        <w:rPr/>
        <w:t xml:space="preserve">Likviditetsplan / betalingsplan afventes fra Rådg. Ing. </w:t>
      </w:r>
    </w:p>
    <w:p>
      <w:pPr>
        <w:pStyle w:val="TextBody"/>
        <w:numPr>
          <w:ilvl w:val="0"/>
          <w:numId w:val="10"/>
        </w:numPr>
        <w:tabs>
          <w:tab w:val="left" w:pos="0" w:leader="none"/>
        </w:tabs>
        <w:ind w:left="707" w:hanging="283"/>
        <w:rPr/>
      </w:pPr>
      <w:r>
        <w:rPr/>
        <w:t>Tidsplan</w:t>
        <w:br/>
        <w:t xml:space="preserve">Arbejdet med digebyggeriet er startet ved Gåsegangen i Søgården. </w:t>
      </w:r>
    </w:p>
    <w:p>
      <w:pPr>
        <w:pStyle w:val="TextBody"/>
        <w:rPr/>
      </w:pPr>
      <w:r>
        <w:rPr/>
        <w:t> </w:t>
      </w:r>
      <w:r>
        <w:rPr/>
        <w:br/>
        <w:t xml:space="preserve">Der arbejdes mod syd og afsluttes i Sejer Strande mod Hyldebo. </w:t>
        <w:br/>
        <w:t>Disse arbejder forventes afsluttet inden jul I år, således at der opnås oversvømmelsesbeskyttelse herefter.</w:t>
        <w:br/>
        <w:t>Der sås græs til foråret, når temperaturen giver de rette vækstbetingelser</w:t>
      </w:r>
    </w:p>
    <w:p>
      <w:pPr>
        <w:pStyle w:val="TextBody"/>
        <w:rPr/>
      </w:pPr>
      <w:r>
        <w:rPr/>
        <w:t> </w:t>
      </w:r>
      <w:r>
        <w:rPr/>
        <w:br/>
        <w:t>Der er overvejelser om at digets afslutninger i den nordlige og sydlige ende gøres smallere, grundet den lave dige højde. Digebredden vil i bredde være som min. græsslåningsmaskine.</w:t>
      </w:r>
    </w:p>
    <w:p>
      <w:pPr>
        <w:pStyle w:val="TextBody"/>
        <w:rPr/>
      </w:pPr>
      <w:r>
        <w:rPr/>
        <w:t> </w:t>
      </w:r>
    </w:p>
    <w:p>
      <w:pPr>
        <w:pStyle w:val="TextBody"/>
        <w:rPr/>
      </w:pPr>
      <w:r>
        <w:rPr/>
        <w:t>4      Kommunen </w:t>
      </w:r>
    </w:p>
    <w:p>
      <w:pPr>
        <w:pStyle w:val="TextBody"/>
        <w:numPr>
          <w:ilvl w:val="0"/>
          <w:numId w:val="11"/>
        </w:numPr>
        <w:tabs>
          <w:tab w:val="left" w:pos="0" w:leader="none"/>
        </w:tabs>
        <w:ind w:left="707" w:hanging="283"/>
        <w:rPr/>
      </w:pPr>
      <w:r>
        <w:rPr/>
        <w:t xml:space="preserve">Lån og evt. tilskud </w:t>
      </w:r>
    </w:p>
    <w:p>
      <w:pPr>
        <w:pStyle w:val="TextBody"/>
        <w:rPr/>
      </w:pPr>
      <w:r>
        <w:rPr/>
        <w:t>Det besluttedes at ansøge kommunen om tilskud til dige byggeriet svarende til den afholdte rådgiverydelse ca. 10 pct. af opførelsessummen</w:t>
      </w:r>
    </w:p>
    <w:p>
      <w:pPr>
        <w:pStyle w:val="TextBody"/>
        <w:numPr>
          <w:ilvl w:val="0"/>
          <w:numId w:val="12"/>
        </w:numPr>
        <w:tabs>
          <w:tab w:val="left" w:pos="0" w:leader="none"/>
        </w:tabs>
        <w:spacing w:before="0" w:after="0"/>
        <w:ind w:left="707" w:hanging="283"/>
        <w:rPr/>
      </w:pPr>
      <w:r>
        <w:rPr/>
        <w:t xml:space="preserve">Det blev vedtaget at afholde generalforsamling og indvielse af diget til foråret, på samme dato </w:t>
      </w:r>
    </w:p>
    <w:p>
      <w:pPr>
        <w:pStyle w:val="TextBody"/>
        <w:numPr>
          <w:ilvl w:val="0"/>
          <w:numId w:val="12"/>
        </w:numPr>
        <w:tabs>
          <w:tab w:val="left" w:pos="0" w:leader="none"/>
        </w:tabs>
        <w:spacing w:before="0" w:after="0"/>
        <w:ind w:left="707" w:hanging="283"/>
        <w:rPr/>
      </w:pPr>
      <w:r>
        <w:rPr/>
        <w:t xml:space="preserve">Opkrævninger af kontant betaling beskrevet ovenfor, låneydelsens betaling og opkrævning via ejendomsskatten aftales med kommunen. </w:t>
      </w:r>
    </w:p>
    <w:p>
      <w:pPr>
        <w:pStyle w:val="TextBody"/>
        <w:numPr>
          <w:ilvl w:val="0"/>
          <w:numId w:val="12"/>
        </w:numPr>
        <w:tabs>
          <w:tab w:val="left" w:pos="0" w:leader="none"/>
        </w:tabs>
        <w:spacing w:before="0" w:after="0"/>
        <w:ind w:left="707" w:hanging="283"/>
        <w:rPr/>
      </w:pPr>
      <w:r>
        <w:rPr/>
        <w:t xml:space="preserve">Vedligeholdelsesbidraget er tidligere aftalt opkrævet forud, med 1. ydelse medio 2014 </w:t>
      </w:r>
    </w:p>
    <w:p>
      <w:pPr>
        <w:pStyle w:val="TextBody"/>
        <w:numPr>
          <w:ilvl w:val="0"/>
          <w:numId w:val="12"/>
        </w:numPr>
        <w:tabs>
          <w:tab w:val="left" w:pos="0" w:leader="none"/>
        </w:tabs>
        <w:ind w:left="707" w:hanging="283"/>
        <w:rPr/>
      </w:pPr>
      <w:r>
        <w:rPr/>
        <w:t xml:space="preserve">Godkendelser </w:t>
      </w:r>
    </w:p>
    <w:p>
      <w:pPr>
        <w:pStyle w:val="TextBody"/>
        <w:rPr/>
      </w:pPr>
      <w:r>
        <w:rPr/>
        <w:t> </w:t>
      </w:r>
    </w:p>
    <w:p>
      <w:pPr>
        <w:pStyle w:val="TextBody"/>
        <w:rPr/>
      </w:pPr>
      <w:r>
        <w:rPr/>
        <w:t> </w:t>
      </w:r>
      <w:r>
        <w:rPr/>
        <w:t xml:space="preserve">5      Information og kommunikation </w:t>
        <w:br/>
        <w:t>Der er oprette hjemmeside for Digelaget. Carsten er administrator.</w:t>
        <w:br/>
        <w:t xml:space="preserve">Der er udlægges løbende Information om byggeriet, til orientering for grundejerne. </w:t>
        <w:br/>
        <w:t>Søgårdens og Hyldebo har hjemmesider. De forsynes med link til Digelagets hjemmeside.</w:t>
        <w:br/>
        <w:br/>
        <w:t xml:space="preserve">Knud tilbød at forestå skrivelserne, som udlægges på </w:t>
      </w:r>
      <w:hyperlink r:id="rId2">
        <w:r>
          <w:rPr>
            <w:rStyle w:val="InternetLink"/>
          </w:rPr>
          <w:t>www.digelaget-gniben.dk</w:t>
        </w:r>
      </w:hyperlink>
    </w:p>
    <w:p>
      <w:pPr>
        <w:pStyle w:val="TextBody"/>
        <w:rPr/>
      </w:pPr>
      <w:r>
        <w:rPr/>
        <w:t>Skrivelserne opsættes i de respektive grundejerforeningers infoskabe.</w:t>
      </w:r>
    </w:p>
    <w:p>
      <w:pPr>
        <w:pStyle w:val="TextBody"/>
        <w:rPr/>
      </w:pPr>
      <w:r>
        <w:rPr/>
        <w:t> </w:t>
      </w:r>
      <w:r>
        <w:rPr/>
        <w:t xml:space="preserve">Der rettes henvendelse pr. mail, til de grundejere, der har oplyst deres mail adresse og der fremsendes pr. post til de grundejere, der ikke har oplyst deres mail adresse eller ikke har en mail. </w:t>
        <w:br/>
        <w:t>Peter Tinning er tovholder vedr. mail adresselisten.</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sz w:val="24"/>
      <w:szCs w:val="24"/>
      <w:lang w:val="en-US" w:eastAsia="zh-CN" w:bidi="hi-IN"/>
    </w:rPr>
  </w:style>
  <w:style w:type="character" w:styleId="StrongEmphasis">
    <w:name w:val="Strong Emphasis"/>
    <w:qFormat/>
    <w:rPr>
      <w:b/>
      <w:bCs/>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igelaget-gniben.dk/index.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6</Pages>
  <Words>1673</Words>
  <Characters>9632</Characters>
  <CharactersWithSpaces>11938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2023-01-05T16:57:51Z</dcterms:created>
  <dc:creator/>
  <dc:description/>
  <dc:language>en-US</dc:language>
  <cp:lastModifiedBy/>
  <dcterms:modified xsi:type="dcterms:W3CDTF">2023-01-05T17:00:12Z</dcterms:modified>
  <cp:revision>1</cp:revision>
  <dc:subject/>
  <dc:title/>
</cp:coreProperties>
</file>